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9B" w:rsidRPr="0078631E" w:rsidRDefault="00DB689B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Minutes for JPL Gun Club Meeting, 8 July 2010</w:t>
      </w:r>
    </w:p>
    <w:p w:rsidR="00DB689B" w:rsidRPr="0078631E" w:rsidRDefault="00DB689B">
      <w:pPr>
        <w:rPr>
          <w:rFonts w:ascii="Arial" w:hAnsi="Arial" w:cs="Arial"/>
          <w:sz w:val="28"/>
          <w:szCs w:val="28"/>
        </w:rPr>
      </w:pPr>
    </w:p>
    <w:p w:rsidR="00DB689B" w:rsidRPr="0078631E" w:rsidRDefault="00DB689B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In attendance:</w:t>
      </w:r>
    </w:p>
    <w:p w:rsidR="00DB689B" w:rsidRPr="0078631E" w:rsidRDefault="00DB689B">
      <w:pPr>
        <w:rPr>
          <w:rFonts w:ascii="Arial" w:hAnsi="Arial" w:cs="Arial"/>
          <w:sz w:val="28"/>
          <w:szCs w:val="28"/>
        </w:rPr>
      </w:pPr>
    </w:p>
    <w:p w:rsidR="00DB689B" w:rsidRPr="0078631E" w:rsidRDefault="00DB689B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Dwight Geer</w:t>
      </w:r>
    </w:p>
    <w:p w:rsidR="00DB689B" w:rsidRPr="0078631E" w:rsidRDefault="00DB689B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Nelson Green</w:t>
      </w:r>
    </w:p>
    <w:p w:rsidR="00DB689B" w:rsidRPr="0078631E" w:rsidRDefault="00DB689B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Judy Nelson</w:t>
      </w:r>
    </w:p>
    <w:p w:rsidR="00DB689B" w:rsidRPr="0078631E" w:rsidRDefault="00DB689B">
      <w:pPr>
        <w:rPr>
          <w:rFonts w:ascii="Arial" w:hAnsi="Arial" w:cs="Arial"/>
          <w:sz w:val="28"/>
          <w:szCs w:val="28"/>
        </w:rPr>
      </w:pPr>
      <w:proofErr w:type="spellStart"/>
      <w:r w:rsidRPr="0078631E">
        <w:rPr>
          <w:rFonts w:ascii="Arial" w:hAnsi="Arial" w:cs="Arial"/>
          <w:sz w:val="28"/>
          <w:szCs w:val="28"/>
        </w:rPr>
        <w:t>Rafi</w:t>
      </w:r>
      <w:proofErr w:type="spellEnd"/>
      <w:r w:rsidRPr="0078631E">
        <w:rPr>
          <w:rFonts w:ascii="Arial" w:hAnsi="Arial" w:cs="Arial"/>
          <w:sz w:val="28"/>
          <w:szCs w:val="28"/>
        </w:rPr>
        <w:t xml:space="preserve"> Some</w:t>
      </w:r>
    </w:p>
    <w:p w:rsidR="00DB689B" w:rsidRPr="0078631E" w:rsidRDefault="00DB689B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Russell Sugimura</w:t>
      </w:r>
    </w:p>
    <w:p w:rsidR="00DB689B" w:rsidRPr="0078631E" w:rsidRDefault="00DB689B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Tom Wolfe</w:t>
      </w:r>
    </w:p>
    <w:p w:rsidR="00DB689B" w:rsidRPr="0078631E" w:rsidRDefault="00DB689B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Tom Wynne</w:t>
      </w:r>
    </w:p>
    <w:p w:rsidR="00DB689B" w:rsidRPr="0078631E" w:rsidRDefault="00DB689B">
      <w:pPr>
        <w:rPr>
          <w:rFonts w:ascii="Arial" w:hAnsi="Arial" w:cs="Arial"/>
          <w:sz w:val="28"/>
          <w:szCs w:val="28"/>
        </w:rPr>
      </w:pPr>
    </w:p>
    <w:p w:rsidR="00DB689B" w:rsidRPr="0078631E" w:rsidRDefault="00DB689B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Rich Rebele – on vacation</w:t>
      </w: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James Wincentsen – sent in treasurer’s report</w:t>
      </w: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Action item completed: See treasurer’s report.</w:t>
      </w: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</w:p>
    <w:p w:rsidR="00DB689B" w:rsidRPr="0078631E" w:rsidRDefault="00DB689B" w:rsidP="0078631E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Treasurer’s report: The old JPLCG Caltech account was closed and funds were transferred to the new JPLCG account. A special thanks to Mike, Ben, and Nelson for their help in making this possible.</w:t>
      </w:r>
    </w:p>
    <w:p w:rsidR="00DB689B" w:rsidRPr="0078631E" w:rsidRDefault="00DB689B" w:rsidP="00A41E74">
      <w:pPr>
        <w:pStyle w:val="HTMLPreformatted"/>
        <w:rPr>
          <w:rFonts w:ascii="Arial" w:hAnsi="Arial" w:cs="Arial"/>
          <w:sz w:val="28"/>
          <w:szCs w:val="28"/>
        </w:rPr>
      </w:pPr>
    </w:p>
    <w:p w:rsidR="00DB689B" w:rsidRPr="0078631E" w:rsidRDefault="00DB689B" w:rsidP="00A41E74">
      <w:pPr>
        <w:pStyle w:val="HTMLPreformatted"/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Account balance: 3969.47</w:t>
      </w:r>
    </w:p>
    <w:p w:rsidR="00DB689B" w:rsidRPr="0078631E" w:rsidRDefault="00DB689B" w:rsidP="00A41E74">
      <w:pPr>
        <w:pStyle w:val="HTMLPreformatted"/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Cash on hand: 46.00</w:t>
      </w:r>
    </w:p>
    <w:p w:rsidR="00DB689B" w:rsidRPr="0078631E" w:rsidRDefault="00DB689B" w:rsidP="00A41E74">
      <w:pPr>
        <w:pStyle w:val="HTMLPreformatted"/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Total club funds: 4015.47</w:t>
      </w: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 xml:space="preserve">Today’s meeting began informally with a welcome back to </w:t>
      </w:r>
      <w:proofErr w:type="spellStart"/>
      <w:r w:rsidRPr="0078631E">
        <w:rPr>
          <w:rFonts w:ascii="Arial" w:hAnsi="Arial" w:cs="Arial"/>
          <w:sz w:val="28"/>
          <w:szCs w:val="28"/>
        </w:rPr>
        <w:t>Rafi</w:t>
      </w:r>
      <w:proofErr w:type="spellEnd"/>
      <w:r w:rsidRPr="0078631E">
        <w:rPr>
          <w:rFonts w:ascii="Arial" w:hAnsi="Arial" w:cs="Arial"/>
          <w:sz w:val="28"/>
          <w:szCs w:val="28"/>
        </w:rPr>
        <w:t xml:space="preserve"> Some, who expressed gratitude for the get well card, and conversations on various topics and activities relative to the club and its members.</w:t>
      </w: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Firing Line indoor range is now a candidate venue for a pistol shoot; it has changed from the previous hourly rate to a flat per day rate.  The building is not air conditioned. Firing Line hosts classes on Saturday mornings but would be available on Sundays.  It opens at 9:00 a.m.</w:t>
      </w: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Tom Wolfe and Judy Nelson worked the Firearms Training booth Saturday 4 June and attended the fair the previous Friday.</w:t>
      </w: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</w:p>
    <w:p w:rsidR="00DB689B" w:rsidRPr="0078631E" w:rsidRDefault="00DB689B" w:rsidP="0078631E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Seventeen members attended the club rifle shoot on 19 June and a retiree came back as a new member.  Tom Temple called the line.  Rich Rebele took pictures. Tom Wolfe has them on the club’s website.</w:t>
      </w:r>
    </w:p>
    <w:p w:rsidR="00DB689B" w:rsidRPr="0078631E" w:rsidRDefault="00DB689B" w:rsidP="0078631E">
      <w:pPr>
        <w:rPr>
          <w:rFonts w:ascii="Arial" w:hAnsi="Arial" w:cs="Arial"/>
          <w:sz w:val="28"/>
          <w:szCs w:val="28"/>
        </w:rPr>
      </w:pPr>
    </w:p>
    <w:p w:rsidR="00C42A12" w:rsidRPr="0078631E" w:rsidRDefault="00DB689B" w:rsidP="00C42A12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 xml:space="preserve">Four club members exhibited their skeet shooting acumen </w:t>
      </w:r>
      <w:r w:rsidR="00C42A12" w:rsidRPr="0078631E">
        <w:rPr>
          <w:rFonts w:ascii="Arial" w:hAnsi="Arial" w:cs="Arial"/>
          <w:sz w:val="28"/>
          <w:szCs w:val="28"/>
        </w:rPr>
        <w:t xml:space="preserve">on Friday 2 July </w:t>
      </w:r>
      <w:r w:rsidRPr="0078631E">
        <w:rPr>
          <w:rFonts w:ascii="Arial" w:hAnsi="Arial" w:cs="Arial"/>
          <w:sz w:val="28"/>
          <w:szCs w:val="28"/>
        </w:rPr>
        <w:t>and their engineering prowess when at least one came close to electrocuting himself while repairing the high house.</w:t>
      </w:r>
      <w:r w:rsidR="00C42A12" w:rsidRPr="00C42A12">
        <w:rPr>
          <w:rFonts w:ascii="Arial" w:hAnsi="Arial" w:cs="Arial"/>
          <w:sz w:val="28"/>
          <w:szCs w:val="28"/>
        </w:rPr>
        <w:t xml:space="preserve"> </w:t>
      </w:r>
      <w:r w:rsidR="00C42A12">
        <w:rPr>
          <w:rFonts w:ascii="Arial" w:hAnsi="Arial" w:cs="Arial"/>
          <w:sz w:val="28"/>
          <w:szCs w:val="28"/>
        </w:rPr>
        <w:t xml:space="preserve">  </w:t>
      </w:r>
      <w:r w:rsidR="00C42A12" w:rsidRPr="0078631E">
        <w:rPr>
          <w:rFonts w:ascii="Arial" w:hAnsi="Arial" w:cs="Arial"/>
          <w:sz w:val="28"/>
          <w:szCs w:val="28"/>
        </w:rPr>
        <w:t xml:space="preserve">Nelson Green </w:t>
      </w:r>
      <w:r w:rsidR="00C42A12">
        <w:rPr>
          <w:rFonts w:ascii="Arial" w:hAnsi="Arial" w:cs="Arial"/>
          <w:sz w:val="28"/>
          <w:szCs w:val="28"/>
        </w:rPr>
        <w:t xml:space="preserve">was one of those that </w:t>
      </w:r>
      <w:r w:rsidR="00C42A12" w:rsidRPr="0078631E">
        <w:rPr>
          <w:rFonts w:ascii="Arial" w:hAnsi="Arial" w:cs="Arial"/>
          <w:sz w:val="28"/>
          <w:szCs w:val="28"/>
        </w:rPr>
        <w:t>took the challenge and went skeet shooting with Tom Wynne and Russ Sugimoto, getting an opportunity to try his 20 gauge shotgun.  There will be a night shoot this Friday 9 July at the club.</w:t>
      </w: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Judy assisted Firearms Training Associates in a women’s self defense class Saturday 26 June.</w:t>
      </w: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</w:p>
    <w:p w:rsidR="00DB689B" w:rsidRPr="0078631E" w:rsidRDefault="00DB689B" w:rsidP="0078631E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Tom Wolfe would like to organize a family and friends shoot at Angeles on 17 July; Nelson will send out an email notification.</w:t>
      </w: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Rich Rebele would like to have a month with no shoot, possibly August</w:t>
      </w:r>
      <w:proofErr w:type="gramStart"/>
      <w:r w:rsidRPr="0078631E">
        <w:rPr>
          <w:rFonts w:ascii="Arial" w:hAnsi="Arial" w:cs="Arial"/>
          <w:sz w:val="28"/>
          <w:szCs w:val="28"/>
        </w:rPr>
        <w:t>,</w:t>
      </w:r>
      <w:r w:rsidR="00C42A12">
        <w:rPr>
          <w:rFonts w:ascii="Arial" w:hAnsi="Arial" w:cs="Arial"/>
          <w:sz w:val="28"/>
          <w:szCs w:val="28"/>
        </w:rPr>
        <w:t xml:space="preserve">  The</w:t>
      </w:r>
      <w:proofErr w:type="gramEnd"/>
      <w:r w:rsidR="00C42A12">
        <w:rPr>
          <w:rFonts w:ascii="Arial" w:hAnsi="Arial" w:cs="Arial"/>
          <w:sz w:val="28"/>
          <w:szCs w:val="28"/>
        </w:rPr>
        <w:t xml:space="preserve"> next rifle shoot with be in September.  This schedule allows for having </w:t>
      </w:r>
      <w:r w:rsidRPr="0078631E">
        <w:rPr>
          <w:rFonts w:ascii="Arial" w:hAnsi="Arial" w:cs="Arial"/>
          <w:sz w:val="28"/>
          <w:szCs w:val="28"/>
        </w:rPr>
        <w:t>a rifle/turkey shoot in November.</w:t>
      </w: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Nelson will work The Old Fort MacArthur Days Living History this weekend 10-11 July. Event runs 10:00 a.m. – 4:00 p.m. both days and includes many re-enactors: cowboys, civil war, Word Wars I &amp; II.  Nelson will be joined by Tom Temple, both working crowd safety.</w:t>
      </w: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</w:p>
    <w:p w:rsidR="00DB689B" w:rsidRPr="0078631E" w:rsidRDefault="00DB689B" w:rsidP="0078631E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 xml:space="preserve">Nelson </w:t>
      </w:r>
      <w:r w:rsidR="00C42A12">
        <w:rPr>
          <w:rFonts w:ascii="Arial" w:hAnsi="Arial" w:cs="Arial"/>
          <w:sz w:val="28"/>
          <w:szCs w:val="28"/>
        </w:rPr>
        <w:t xml:space="preserve">shot over the Fourth of July </w:t>
      </w:r>
      <w:r w:rsidRPr="0078631E">
        <w:rPr>
          <w:rFonts w:ascii="Arial" w:hAnsi="Arial" w:cs="Arial"/>
          <w:sz w:val="28"/>
          <w:szCs w:val="28"/>
        </w:rPr>
        <w:t>with the Lockheed Rifle Club on Saturday and the Ojai Valley club on Sunday.</w:t>
      </w:r>
    </w:p>
    <w:p w:rsidR="00DB689B" w:rsidRPr="0078631E" w:rsidRDefault="00DB689B" w:rsidP="0078631E">
      <w:pPr>
        <w:rPr>
          <w:rFonts w:ascii="Arial" w:hAnsi="Arial" w:cs="Arial"/>
          <w:sz w:val="28"/>
          <w:szCs w:val="28"/>
        </w:rPr>
      </w:pPr>
    </w:p>
    <w:p w:rsidR="00DB689B" w:rsidRPr="0078631E" w:rsidRDefault="00DB689B" w:rsidP="0078631E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There will be shot gun at Oak Tree this Saturday.</w:t>
      </w:r>
    </w:p>
    <w:p w:rsidR="00DB689B" w:rsidRDefault="00DB689B" w:rsidP="0078631E">
      <w:pPr>
        <w:rPr>
          <w:rFonts w:ascii="Arial" w:hAnsi="Arial" w:cs="Arial"/>
          <w:sz w:val="28"/>
          <w:szCs w:val="28"/>
        </w:rPr>
      </w:pP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 xml:space="preserve">In response to Tom Wolfe’s suggestion about training classes, Nelson said </w:t>
      </w:r>
      <w:r w:rsidR="00C42A12" w:rsidRPr="0078631E">
        <w:rPr>
          <w:rFonts w:ascii="Arial" w:hAnsi="Arial" w:cs="Arial"/>
          <w:sz w:val="28"/>
          <w:szCs w:val="28"/>
        </w:rPr>
        <w:t xml:space="preserve">that </w:t>
      </w:r>
      <w:r w:rsidR="00C42A12">
        <w:rPr>
          <w:rFonts w:ascii="Arial" w:hAnsi="Arial" w:cs="Arial"/>
          <w:sz w:val="28"/>
          <w:szCs w:val="28"/>
        </w:rPr>
        <w:t xml:space="preserve">he had participated in a couple of beginner’s/ladies </w:t>
      </w:r>
      <w:proofErr w:type="gramStart"/>
      <w:r w:rsidR="00C42A12">
        <w:rPr>
          <w:rFonts w:ascii="Arial" w:hAnsi="Arial" w:cs="Arial"/>
          <w:sz w:val="28"/>
          <w:szCs w:val="28"/>
        </w:rPr>
        <w:t>day</w:t>
      </w:r>
      <w:proofErr w:type="gramEnd"/>
      <w:r w:rsidR="00C42A12">
        <w:rPr>
          <w:rFonts w:ascii="Arial" w:hAnsi="Arial" w:cs="Arial"/>
          <w:sz w:val="28"/>
          <w:szCs w:val="28"/>
        </w:rPr>
        <w:t xml:space="preserve"> shooting events at in the last few years.  Jim Glass, who ran the event, used to hold the beginner’s/ladies day at </w:t>
      </w:r>
      <w:r w:rsidRPr="0078631E">
        <w:rPr>
          <w:rFonts w:ascii="Arial" w:hAnsi="Arial" w:cs="Arial"/>
          <w:sz w:val="28"/>
          <w:szCs w:val="28"/>
        </w:rPr>
        <w:t>San Gabriel Valley Gun Club</w:t>
      </w:r>
      <w:r w:rsidR="00C42A12">
        <w:rPr>
          <w:rFonts w:ascii="Arial" w:hAnsi="Arial" w:cs="Arial"/>
          <w:sz w:val="28"/>
          <w:szCs w:val="28"/>
        </w:rPr>
        <w:t xml:space="preserve"> (before it closed) and now occasionally holds them at Burro Canyon.  At both locations, the range would provide </w:t>
      </w:r>
      <w:r w:rsidRPr="0078631E">
        <w:rPr>
          <w:rFonts w:ascii="Arial" w:hAnsi="Arial" w:cs="Arial"/>
          <w:sz w:val="28"/>
          <w:szCs w:val="28"/>
        </w:rPr>
        <w:t xml:space="preserve">free admission </w:t>
      </w:r>
      <w:r w:rsidR="00C42A12">
        <w:rPr>
          <w:rFonts w:ascii="Arial" w:hAnsi="Arial" w:cs="Arial"/>
          <w:sz w:val="28"/>
          <w:szCs w:val="28"/>
        </w:rPr>
        <w:t>and Jim would arrange for s</w:t>
      </w:r>
      <w:r w:rsidRPr="0078631E">
        <w:rPr>
          <w:rFonts w:ascii="Arial" w:hAnsi="Arial" w:cs="Arial"/>
          <w:sz w:val="28"/>
          <w:szCs w:val="28"/>
        </w:rPr>
        <w:t xml:space="preserve">everal instructors </w:t>
      </w:r>
      <w:r w:rsidR="00C42A12">
        <w:rPr>
          <w:rFonts w:ascii="Arial" w:hAnsi="Arial" w:cs="Arial"/>
          <w:sz w:val="28"/>
          <w:szCs w:val="28"/>
        </w:rPr>
        <w:t xml:space="preserve">who would </w:t>
      </w:r>
      <w:r w:rsidRPr="0078631E">
        <w:rPr>
          <w:rFonts w:ascii="Arial" w:hAnsi="Arial" w:cs="Arial"/>
          <w:sz w:val="28"/>
          <w:szCs w:val="28"/>
        </w:rPr>
        <w:t xml:space="preserve">volunteer and work with attendees one on one. </w:t>
      </w:r>
      <w:r w:rsidR="00C42A12">
        <w:rPr>
          <w:rFonts w:ascii="Arial" w:hAnsi="Arial" w:cs="Arial"/>
          <w:sz w:val="28"/>
          <w:szCs w:val="28"/>
        </w:rPr>
        <w:t xml:space="preserve">Jim would give a instructional class ahead of time included both firearm safety and basic pistol/revolver operations.  </w:t>
      </w:r>
      <w:r w:rsidRPr="0078631E">
        <w:rPr>
          <w:rFonts w:ascii="Arial" w:hAnsi="Arial" w:cs="Arial"/>
          <w:sz w:val="28"/>
          <w:szCs w:val="28"/>
        </w:rPr>
        <w:t>Nelson will talk to Jim Glass about re-instituting this activity and using it as a “piggy-back” opportunity for the JPLGC.</w:t>
      </w: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Legal News national:</w:t>
      </w: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 xml:space="preserve"> </w:t>
      </w: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 xml:space="preserve">McDonald vs. City of Chicago, a landmark decision of the </w:t>
      </w:r>
      <w:hyperlink r:id="rId5" w:tooltip="Supreme Court of the United States" w:history="1">
        <w:r w:rsidRPr="0078631E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Supreme Court</w:t>
        </w:r>
      </w:hyperlink>
      <w:r w:rsidRPr="0078631E">
        <w:rPr>
          <w:rFonts w:ascii="Arial" w:hAnsi="Arial" w:cs="Arial"/>
          <w:sz w:val="28"/>
          <w:szCs w:val="28"/>
        </w:rPr>
        <w:t xml:space="preserve">, held that the right of an individual to "keep and bear arms" protected by the </w:t>
      </w:r>
      <w:hyperlink r:id="rId6" w:tooltip="Second Amendment to the United States Constitution" w:history="1">
        <w:r w:rsidRPr="0078631E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Second Amendment</w:t>
        </w:r>
      </w:hyperlink>
      <w:r w:rsidRPr="0078631E">
        <w:rPr>
          <w:rFonts w:ascii="Arial" w:hAnsi="Arial" w:cs="Arial"/>
          <w:sz w:val="28"/>
          <w:szCs w:val="28"/>
        </w:rPr>
        <w:t xml:space="preserve"> is </w:t>
      </w:r>
      <w:hyperlink r:id="rId7" w:tooltip="Incorporation of the Bill of Rights" w:history="1">
        <w:r w:rsidRPr="0078631E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incorporated</w:t>
        </w:r>
      </w:hyperlink>
      <w:r w:rsidRPr="0078631E">
        <w:rPr>
          <w:rFonts w:ascii="Arial" w:hAnsi="Arial" w:cs="Arial"/>
          <w:sz w:val="28"/>
          <w:szCs w:val="28"/>
        </w:rPr>
        <w:t xml:space="preserve"> by the </w:t>
      </w:r>
      <w:hyperlink r:id="rId8" w:tooltip="Due Process Clause" w:history="1">
        <w:r w:rsidRPr="0078631E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Due Process Clause</w:t>
        </w:r>
      </w:hyperlink>
      <w:r w:rsidRPr="0078631E">
        <w:rPr>
          <w:rFonts w:ascii="Arial" w:hAnsi="Arial" w:cs="Arial"/>
          <w:sz w:val="28"/>
          <w:szCs w:val="28"/>
        </w:rPr>
        <w:t xml:space="preserve"> of the </w:t>
      </w:r>
      <w:hyperlink r:id="rId9" w:tooltip="Fourteenth Amendment to the United States Constitution" w:history="1">
        <w:r w:rsidRPr="0078631E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Fourteenth Amendment</w:t>
        </w:r>
      </w:hyperlink>
      <w:r w:rsidRPr="0078631E">
        <w:rPr>
          <w:rFonts w:ascii="Arial" w:hAnsi="Arial" w:cs="Arial"/>
          <w:sz w:val="28"/>
          <w:szCs w:val="28"/>
        </w:rPr>
        <w:t xml:space="preserve"> and applies to the states. The decision cleared up the uncertainty left in the wake of </w:t>
      </w:r>
      <w:hyperlink r:id="rId10" w:tooltip="District of Columbia v. Heller" w:history="1">
        <w:r w:rsidRPr="0078631E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District of Columbia v. Heller</w:t>
        </w:r>
      </w:hyperlink>
      <w:r w:rsidRPr="0078631E">
        <w:rPr>
          <w:rFonts w:ascii="Arial" w:hAnsi="Arial" w:cs="Arial"/>
          <w:sz w:val="28"/>
          <w:szCs w:val="28"/>
        </w:rPr>
        <w:t xml:space="preserve"> as to the scope of gun rights in regard to the states.</w:t>
      </w: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In California:</w:t>
      </w: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California has not yet legislated a Castle Doctrine.  As of 28 May 2010, 31 states have some form of Castle Doctrine and/or Stand Your Ground Law.  Note the 1985 Colorado statute, “Make My Day Law.”</w:t>
      </w: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Bills that would ban lead shot in state wildlife areas and require registration of newly purchased rifles and shotguns passed the state Assembly.</w:t>
      </w: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"Commencing February 1, 2011, the delivery or transfer of ownership of handgun ammunition may only occur in a face-to-face transaction with the deliverer or transferor being provided bona fide evidence of identity from the purchaser or other transferee. A violation of this section is a misdemeanor."</w:t>
      </w: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Please refer to the website for information: www.jplgc.org</w:t>
      </w:r>
    </w:p>
    <w:p w:rsidR="00DB689B" w:rsidRPr="0078631E" w:rsidRDefault="00DB689B" w:rsidP="00C4091E">
      <w:pPr>
        <w:rPr>
          <w:rFonts w:ascii="Arial" w:hAnsi="Arial" w:cs="Arial"/>
          <w:sz w:val="28"/>
          <w:szCs w:val="28"/>
        </w:rPr>
      </w:pPr>
    </w:p>
    <w:p w:rsidR="00DB689B" w:rsidRPr="0078631E" w:rsidRDefault="00DB689B" w:rsidP="00A45679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Meeting ended at 1:00 p.m.</w:t>
      </w: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</w:p>
    <w:p w:rsidR="00DB689B" w:rsidRPr="0078631E" w:rsidRDefault="00DB689B" w:rsidP="00BB22A5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Respectfully submitted,</w:t>
      </w:r>
    </w:p>
    <w:p w:rsidR="00DB689B" w:rsidRPr="0078631E" w:rsidRDefault="00DB689B" w:rsidP="00BB22A5">
      <w:pPr>
        <w:rPr>
          <w:rFonts w:ascii="Arial" w:hAnsi="Arial" w:cs="Arial"/>
          <w:sz w:val="28"/>
          <w:szCs w:val="28"/>
        </w:rPr>
      </w:pPr>
    </w:p>
    <w:p w:rsidR="00DB689B" w:rsidRPr="0078631E" w:rsidRDefault="00DB689B" w:rsidP="00BB22A5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Judy Nelson</w:t>
      </w:r>
    </w:p>
    <w:p w:rsidR="00DB689B" w:rsidRPr="0078631E" w:rsidRDefault="00DB689B" w:rsidP="00BB22A5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Secretary</w:t>
      </w:r>
    </w:p>
    <w:sectPr w:rsidR="00DB689B" w:rsidRPr="0078631E" w:rsidSect="00EB22D2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96B"/>
    <w:multiLevelType w:val="hybridMultilevel"/>
    <w:tmpl w:val="8CE4A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3D9B174F"/>
    <w:multiLevelType w:val="hybridMultilevel"/>
    <w:tmpl w:val="BF582F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7E0F02"/>
    <w:multiLevelType w:val="hybridMultilevel"/>
    <w:tmpl w:val="2C9E1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B2171"/>
    <w:multiLevelType w:val="hybridMultilevel"/>
    <w:tmpl w:val="5F20C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trackRevisions/>
  <w:doNotTrackMove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/>
  <w:rsids>
    <w:rsidRoot w:val="00EB22D2"/>
    <w:rsid w:val="00001FCC"/>
    <w:rsid w:val="000109FA"/>
    <w:rsid w:val="00020862"/>
    <w:rsid w:val="000239AA"/>
    <w:rsid w:val="00076622"/>
    <w:rsid w:val="000D756E"/>
    <w:rsid w:val="000F5C74"/>
    <w:rsid w:val="00164BC3"/>
    <w:rsid w:val="001C766E"/>
    <w:rsid w:val="00221D32"/>
    <w:rsid w:val="00226464"/>
    <w:rsid w:val="00237FE2"/>
    <w:rsid w:val="002877F3"/>
    <w:rsid w:val="00306A94"/>
    <w:rsid w:val="00334D1F"/>
    <w:rsid w:val="00334F31"/>
    <w:rsid w:val="00366FB8"/>
    <w:rsid w:val="003C4A0E"/>
    <w:rsid w:val="003D3C5A"/>
    <w:rsid w:val="003E3325"/>
    <w:rsid w:val="00493DC4"/>
    <w:rsid w:val="005354FF"/>
    <w:rsid w:val="00547D16"/>
    <w:rsid w:val="00565273"/>
    <w:rsid w:val="00574B02"/>
    <w:rsid w:val="005B44BE"/>
    <w:rsid w:val="005D0C4C"/>
    <w:rsid w:val="005D2E18"/>
    <w:rsid w:val="00670039"/>
    <w:rsid w:val="00682A60"/>
    <w:rsid w:val="006C2E5C"/>
    <w:rsid w:val="006D712D"/>
    <w:rsid w:val="007048CF"/>
    <w:rsid w:val="00712767"/>
    <w:rsid w:val="0073006D"/>
    <w:rsid w:val="0073376F"/>
    <w:rsid w:val="00735559"/>
    <w:rsid w:val="00750175"/>
    <w:rsid w:val="00753963"/>
    <w:rsid w:val="00770D61"/>
    <w:rsid w:val="00777963"/>
    <w:rsid w:val="0078631E"/>
    <w:rsid w:val="00797CBE"/>
    <w:rsid w:val="007A0BE6"/>
    <w:rsid w:val="007A5F3A"/>
    <w:rsid w:val="007B73D6"/>
    <w:rsid w:val="007D038B"/>
    <w:rsid w:val="007E6E4A"/>
    <w:rsid w:val="00827D67"/>
    <w:rsid w:val="00853CCF"/>
    <w:rsid w:val="00891AFA"/>
    <w:rsid w:val="008B033F"/>
    <w:rsid w:val="008C3749"/>
    <w:rsid w:val="008F727D"/>
    <w:rsid w:val="00902BFC"/>
    <w:rsid w:val="00940636"/>
    <w:rsid w:val="009506F1"/>
    <w:rsid w:val="009728CE"/>
    <w:rsid w:val="0098491B"/>
    <w:rsid w:val="009A0DFB"/>
    <w:rsid w:val="009C6254"/>
    <w:rsid w:val="00A00316"/>
    <w:rsid w:val="00A40EBF"/>
    <w:rsid w:val="00A41E74"/>
    <w:rsid w:val="00A45679"/>
    <w:rsid w:val="00A7206B"/>
    <w:rsid w:val="00A867FD"/>
    <w:rsid w:val="00A8714A"/>
    <w:rsid w:val="00A87F50"/>
    <w:rsid w:val="00B10BE6"/>
    <w:rsid w:val="00B41B3C"/>
    <w:rsid w:val="00BA1DA5"/>
    <w:rsid w:val="00BB0525"/>
    <w:rsid w:val="00BB22A5"/>
    <w:rsid w:val="00BB2A30"/>
    <w:rsid w:val="00BB345B"/>
    <w:rsid w:val="00BB595A"/>
    <w:rsid w:val="00BD6B2A"/>
    <w:rsid w:val="00BF6CE5"/>
    <w:rsid w:val="00C064AE"/>
    <w:rsid w:val="00C4091E"/>
    <w:rsid w:val="00C42A12"/>
    <w:rsid w:val="00C665F8"/>
    <w:rsid w:val="00CD3E68"/>
    <w:rsid w:val="00CE48D6"/>
    <w:rsid w:val="00D04828"/>
    <w:rsid w:val="00D10D0D"/>
    <w:rsid w:val="00D26A5C"/>
    <w:rsid w:val="00D449F5"/>
    <w:rsid w:val="00D7331F"/>
    <w:rsid w:val="00D8766A"/>
    <w:rsid w:val="00DB689B"/>
    <w:rsid w:val="00DD238F"/>
    <w:rsid w:val="00DF6FAF"/>
    <w:rsid w:val="00E16A7A"/>
    <w:rsid w:val="00E249FE"/>
    <w:rsid w:val="00E65A20"/>
    <w:rsid w:val="00EB22D2"/>
    <w:rsid w:val="00EB6DDC"/>
    <w:rsid w:val="00EC3BCB"/>
    <w:rsid w:val="00EE3D00"/>
    <w:rsid w:val="00F2505A"/>
    <w:rsid w:val="00F308A7"/>
    <w:rsid w:val="00F317B8"/>
    <w:rsid w:val="00FA230D"/>
    <w:rsid w:val="00FB5EAA"/>
    <w:rsid w:val="00FC61C7"/>
    <w:rsid w:val="00FE1820"/>
    <w:rsid w:val="00FE7B91"/>
    <w:rsid w:val="00FF0D1A"/>
    <w:rsid w:val="00FF3C08"/>
    <w:rsid w:val="00FF55B1"/>
    <w:rsid w:val="00FF5E8B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33F"/>
    <w:rPr>
      <w:rFonts w:cs="Cambria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99"/>
    <w:qFormat/>
    <w:rsid w:val="00EB22D2"/>
    <w:pPr>
      <w:ind w:left="720"/>
      <w:contextualSpacing/>
    </w:pPr>
  </w:style>
  <w:style w:type="table" w:styleId="TableGrid">
    <w:name w:val="Table Grid"/>
    <w:basedOn w:val="TableNormal"/>
    <w:uiPriority w:val="99"/>
    <w:rsid w:val="00E16A7A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FF3C08"/>
    <w:rPr>
      <w:color w:val="5F5F5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D6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B2A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A41E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3672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38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en.wikipedia.org/wiki/Supreme_Court_of_the_United_States" TargetMode="External"/><Relationship Id="rId6" Type="http://schemas.openxmlformats.org/officeDocument/2006/relationships/hyperlink" Target="http://en.wikipedia.org/wiki/Second_Amendment_to_the_United_States_Constitution" TargetMode="External"/><Relationship Id="rId7" Type="http://schemas.openxmlformats.org/officeDocument/2006/relationships/hyperlink" Target="http://en.wikipedia.org/wiki/Incorporation_of_the_Bill_of_Rights" TargetMode="External"/><Relationship Id="rId8" Type="http://schemas.openxmlformats.org/officeDocument/2006/relationships/hyperlink" Target="http://en.wikipedia.org/wiki/Due_Process_Clause" TargetMode="External"/><Relationship Id="rId9" Type="http://schemas.openxmlformats.org/officeDocument/2006/relationships/hyperlink" Target="http://en.wikipedia.org/wiki/Fourteenth_Amendment_to_the_United_States_Constitution" TargetMode="External"/><Relationship Id="rId10" Type="http://schemas.openxmlformats.org/officeDocument/2006/relationships/hyperlink" Target="http://en.wikipedia.org/wiki/District_of_Columbia_v._Hell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770</Words>
  <Characters>4390</Characters>
  <Application>Microsoft Macintosh Word</Application>
  <DocSecurity>0</DocSecurity>
  <Lines>36</Lines>
  <Paragraphs>8</Paragraphs>
  <ScaleCrop>false</ScaleCrop>
  <Company>JPL</Company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JPL Gun Club Meeting, 8 July 2010</dc:title>
  <dc:creator>Judy Nelson</dc:creator>
  <cp:lastModifiedBy>judith nelson</cp:lastModifiedBy>
  <cp:revision>3</cp:revision>
  <dcterms:created xsi:type="dcterms:W3CDTF">2010-07-09T19:14:00Z</dcterms:created>
  <dcterms:modified xsi:type="dcterms:W3CDTF">2010-09-01T22:48:00Z</dcterms:modified>
</cp:coreProperties>
</file>